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9B" w:rsidRDefault="007577F4" w:rsidP="00956C3C">
      <w:pPr>
        <w:spacing w:line="240" w:lineRule="auto"/>
      </w:pPr>
      <w:r>
        <w:t>Name</w:t>
      </w:r>
    </w:p>
    <w:p w:rsidR="005D32D9" w:rsidRDefault="007577F4" w:rsidP="000E3F94">
      <w:pPr>
        <w:spacing w:line="240" w:lineRule="auto"/>
        <w:jc w:val="center"/>
      </w:pPr>
      <w:r>
        <w:t>Farming Alliances and Group in the United States of America</w:t>
      </w:r>
    </w:p>
    <w:p w:rsidR="007C3226" w:rsidRDefault="007577F4" w:rsidP="000E3F94">
      <w:pPr>
        <w:spacing w:line="240" w:lineRule="auto"/>
        <w:ind w:firstLine="720"/>
      </w:pPr>
      <w:r>
        <w:t>Farming has been in practice in the United States</w:t>
      </w:r>
      <w:r>
        <w:t xml:space="preserve"> of America even before the rise and abortion of the slave trade. Slaves, among other things, were being bought and acquired to work in the farms for the white population. Both the natives and immigrants of the country relied heavily upon farming as their </w:t>
      </w:r>
      <w:r>
        <w:t>primary source of livelihood. They would later transition to industrialization and come up with processing industries whose function included the processing of the farm produce. For example, cotton farms needed industries that would buy and process the pro</w:t>
      </w:r>
      <w:r>
        <w:t xml:space="preserve">duct before it </w:t>
      </w:r>
      <w:r>
        <w:rPr>
          <w:rStyle w:val="FootnoteReference"/>
        </w:rPr>
        <w:footnoteReference w:id="1"/>
      </w:r>
      <w:r>
        <w:t>could be used for functions like making of fabrics. It was because of the unique challenges facing the farmers while farming, the whites who had large tracts of the land decided to form farmers' alliances. These alliances would advocate for</w:t>
      </w:r>
      <w:r>
        <w:t xml:space="preserve"> farmers' rights and even for those who worked in the farms. Initially, the agreements were meant for the white farmers only, and no black would be allowed to be a member due to the policies that guided the alliances. However, after the abolition of t</w:t>
      </w:r>
      <w:r w:rsidR="00335845">
        <w:t>he slave trade and slavery in the country, the blacks were allowed to buy and own land; hence would now be entitled to forming alliances that would take care of their interests as farmers.</w:t>
      </w:r>
    </w:p>
    <w:p w:rsidR="00335845" w:rsidRDefault="007577F4" w:rsidP="000E3F94">
      <w:pPr>
        <w:spacing w:line="240" w:lineRule="auto"/>
        <w:ind w:firstLine="720"/>
      </w:pPr>
      <w:r>
        <w:t xml:space="preserve">The black population was still facing racism and discrimination despite </w:t>
      </w:r>
      <w:r>
        <w:t>the abolition of the slave trade and slavery in the United States of America. This meant that there were services that they could not access. For example, voting by the blacks or the Negro race was not allowed until the late nineteen sixties. They would he</w:t>
      </w:r>
      <w:r>
        <w:t>nce not be allowed also to join the farmers' alliances with their white counterparts</w:t>
      </w:r>
      <w:r>
        <w:rPr>
          <w:rStyle w:val="FootnoteReference"/>
        </w:rPr>
        <w:footnoteReference w:id="2"/>
      </w:r>
      <w:r>
        <w:t xml:space="preserve">. This created a lot of discomfort and disharmony among them, and they decided to form their alliance. </w:t>
      </w:r>
      <w:r w:rsidR="009F0835">
        <w:t xml:space="preserve">They formed what was termed as colored </w:t>
      </w:r>
      <w:r w:rsidR="00A227FB">
        <w:t>farmers’</w:t>
      </w:r>
      <w:r w:rsidR="009F0835">
        <w:t xml:space="preserve"> alliance, which was majorly for the black population. </w:t>
      </w:r>
      <w:r w:rsidR="00A227FB">
        <w:t>It</w:t>
      </w:r>
      <w:r w:rsidR="009F0835">
        <w:t xml:space="preserve"> is observed that </w:t>
      </w:r>
      <w:r w:rsidR="00A227FB">
        <w:t>these alliances</w:t>
      </w:r>
      <w:r w:rsidR="009F0835">
        <w:t xml:space="preserve"> would somehow face opposition from the whites as they felt that forming an alliance would make them healthy and even challenge them politically. However, the constitution still allowed such formations as long as they were geared at ensuring that there was fairness among the farmers. In the northern part of the country, the whites did not have much resistance to such formations, unlike in the Southern part</w:t>
      </w:r>
      <w:r>
        <w:rPr>
          <w:rStyle w:val="FootnoteReference"/>
        </w:rPr>
        <w:footnoteReference w:id="3"/>
      </w:r>
      <w:r w:rsidR="009F0835">
        <w:t xml:space="preserve">. In less than one year, the alliance had more than one million members and hence could raise issues that affected the colored farmer with authority, just like the </w:t>
      </w:r>
      <w:r w:rsidR="00A227FB">
        <w:t xml:space="preserve">white alliances.  If these colored alliances had not been formed, the blacks would not have made steps in improving themselves economically and hence socially in the society dominated by the white population. </w:t>
      </w:r>
      <w:r w:rsidR="00956C3C">
        <w:t>The</w:t>
      </w:r>
      <w:r w:rsidR="00A227FB">
        <w:t xml:space="preserve"> first fear by the whites was the blacks forming a political grouping that would be strong enough to agitate for their political rights, which they never enjoyed at that particular time.  </w:t>
      </w:r>
    </w:p>
    <w:p w:rsidR="00CE238D" w:rsidRDefault="007577F4" w:rsidP="000E3F94">
      <w:pPr>
        <w:spacing w:line="240" w:lineRule="auto"/>
        <w:ind w:firstLine="720"/>
      </w:pPr>
      <w:r>
        <w:t>The importance of such an alliance is that even women were allowed to be members and had a voice in its activities, unlike before. This was due to the fact that the women made almost half of the members that formed the union. This was a</w:t>
      </w:r>
      <w:r>
        <w:t xml:space="preserve">n opportunity for women to access leadership positions that were previously reserved for the male gender. </w:t>
      </w:r>
      <w:r w:rsidR="00956C3C">
        <w:t xml:space="preserve">This led to the rise of </w:t>
      </w:r>
      <w:r w:rsidR="00956C3C">
        <w:lastRenderedPageBreak/>
        <w:t>populists in women leadership, which initially would not have happened</w:t>
      </w:r>
      <w:r>
        <w:rPr>
          <w:rStyle w:val="FootnoteReference"/>
        </w:rPr>
        <w:footnoteReference w:id="4"/>
      </w:r>
      <w:r w:rsidR="00956C3C">
        <w:t>. Since the alliance leadership had women elected, they would champion their rights and responsibilities as equal citizens just like their male counterparts. Women become more vocal in defending for the rights of farmers in terms of loan access and property ownership and the measures that were put by the government to contain them since it was white-dominated. Lease, for example, in Kansas, became a trendy leader because of being vocal and ready to represent the farmers who were facing challenges like selling their products and even getting them to industries for processing</w:t>
      </w:r>
      <w:r>
        <w:rPr>
          <w:rStyle w:val="FootnoteReference"/>
        </w:rPr>
        <w:footnoteReference w:id="5"/>
      </w:r>
      <w:r w:rsidR="00956C3C">
        <w:t xml:space="preserve">. </w:t>
      </w:r>
      <w:r w:rsidR="00A41B54">
        <w:t xml:space="preserve">She was not black but advocated for the farmer’s rights equally with no discrimination whatsoever. </w:t>
      </w:r>
      <w:r w:rsidR="00031A09">
        <w:t xml:space="preserve">The farmer alliance groups had turned into movements that would later even campaign for political candidates in the various seats across the country. </w:t>
      </w:r>
    </w:p>
    <w:p w:rsidR="00031A09" w:rsidRDefault="007577F4" w:rsidP="000E3F94">
      <w:pPr>
        <w:spacing w:line="240" w:lineRule="auto"/>
        <w:ind w:firstLine="720"/>
      </w:pPr>
      <w:r>
        <w:t>The issue in farmer alliance was being discussed as it led to the formation of movements that advocated for rights for the farmers. It later escalated to be movements that would agitate for the reasons for women in leadership. Women like Lease wo</w:t>
      </w:r>
      <w:r>
        <w:t>uld rise to be vocal in all matters related to union and leadership and agenda that were to be pushed</w:t>
      </w:r>
      <w:r>
        <w:rPr>
          <w:rStyle w:val="FootnoteReference"/>
        </w:rPr>
        <w:footnoteReference w:id="6"/>
      </w:r>
      <w:r>
        <w:t>. This would also make the two genders to be equal in terms of the opportunities that presented themselves. This was the birth of movements that would lat</w:t>
      </w:r>
      <w:r>
        <w:t>er become political parties like the Populist Party that would present its people for better political representation. Besides, this paved the way for the current policies in socioeconomic gains that made it equal for both genders. Women in contemporary Am</w:t>
      </w:r>
      <w:r>
        <w:t xml:space="preserve">erica have equal employment opportunities, just like their male counterparts. </w:t>
      </w:r>
      <w:r w:rsidR="00BC08DC">
        <w:t>Also, in education, women are allowed to pursue any course that interests them, unlike in the past, where some sessions were perceived as for the male. Racial discrimination has also reduced in modern-day America due to those alliances that pushed for equal rights even for nonwhite citizens.</w:t>
      </w: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0E3F94" w:rsidRDefault="000E3F94" w:rsidP="00956C3C">
      <w:pPr>
        <w:spacing w:line="240" w:lineRule="auto"/>
      </w:pPr>
    </w:p>
    <w:p w:rsidR="00BC08DC" w:rsidRDefault="007577F4" w:rsidP="000E3F94">
      <w:pPr>
        <w:spacing w:line="240" w:lineRule="auto"/>
        <w:jc w:val="center"/>
      </w:pPr>
      <w:r>
        <w:lastRenderedPageBreak/>
        <w:t>Bibliography</w:t>
      </w:r>
    </w:p>
    <w:p w:rsidR="000E3F94" w:rsidRDefault="000E3F94" w:rsidP="000E3F94">
      <w:pPr>
        <w:spacing w:after="0" w:line="240" w:lineRule="auto"/>
        <w:ind w:left="720" w:hanging="720"/>
      </w:pPr>
      <w:proofErr w:type="gramStart"/>
      <w:r w:rsidRPr="00BC08DC">
        <w:t>Greenwood, Janette Thomas, and Janette Thomas Greenwood.</w:t>
      </w:r>
      <w:proofErr w:type="gramEnd"/>
      <w:r w:rsidRPr="00BC08DC">
        <w:t> </w:t>
      </w:r>
      <w:r w:rsidRPr="00BC08DC">
        <w:rPr>
          <w:i/>
          <w:iCs/>
        </w:rPr>
        <w:t>The Gilded Age: A History in Documents</w:t>
      </w:r>
      <w:r w:rsidRPr="00BC08DC">
        <w:t>. Oxford University Press, 2000.</w:t>
      </w:r>
    </w:p>
    <w:p w:rsidR="000E3F94" w:rsidRDefault="000E3F94" w:rsidP="000E3F94">
      <w:pPr>
        <w:spacing w:after="0" w:line="240" w:lineRule="auto"/>
        <w:ind w:left="720" w:hanging="720"/>
      </w:pPr>
      <w:proofErr w:type="gramStart"/>
      <w:r w:rsidRPr="00BC08DC">
        <w:t>Sanders, Elizabeth.</w:t>
      </w:r>
      <w:proofErr w:type="gramEnd"/>
      <w:r w:rsidRPr="00BC08DC">
        <w:t> </w:t>
      </w:r>
      <w:r w:rsidRPr="00BC08DC">
        <w:rPr>
          <w:i/>
          <w:iCs/>
        </w:rPr>
        <w:t>Ro</w:t>
      </w:r>
      <w:bookmarkStart w:id="0" w:name="_GoBack"/>
      <w:bookmarkEnd w:id="0"/>
      <w:r w:rsidRPr="00BC08DC">
        <w:rPr>
          <w:i/>
          <w:iCs/>
        </w:rPr>
        <w:t>ots of reform: farmers, workers, and the American state, 1877-1917</w:t>
      </w:r>
      <w:r w:rsidRPr="00BC08DC">
        <w:t>. University of Chicago Press, 1999.</w:t>
      </w:r>
    </w:p>
    <w:p w:rsidR="000E3F94" w:rsidRDefault="000E3F94" w:rsidP="000E3F94">
      <w:pPr>
        <w:spacing w:after="0" w:line="240" w:lineRule="auto"/>
        <w:ind w:left="720" w:hanging="720"/>
      </w:pPr>
      <w:proofErr w:type="spellStart"/>
      <w:proofErr w:type="gramStart"/>
      <w:r w:rsidRPr="00BC08DC">
        <w:t>Zinn</w:t>
      </w:r>
      <w:proofErr w:type="spellEnd"/>
      <w:r w:rsidRPr="00BC08DC">
        <w:t>, Howard, and Matt Damon.</w:t>
      </w:r>
      <w:proofErr w:type="gramEnd"/>
      <w:r w:rsidRPr="00BC08DC">
        <w:t> </w:t>
      </w:r>
      <w:r w:rsidRPr="00BC08DC">
        <w:rPr>
          <w:i/>
          <w:iCs/>
        </w:rPr>
        <w:t>A people's history of the United States</w:t>
      </w:r>
      <w:r w:rsidRPr="00BC08DC">
        <w:t>. New York: New Press, 1998.</w:t>
      </w:r>
    </w:p>
    <w:p w:rsidR="0004479B" w:rsidRDefault="0004479B" w:rsidP="00956C3C">
      <w:pPr>
        <w:spacing w:line="240" w:lineRule="auto"/>
      </w:pPr>
    </w:p>
    <w:p w:rsidR="0004479B" w:rsidRDefault="0004479B" w:rsidP="00956C3C">
      <w:pPr>
        <w:spacing w:line="240" w:lineRule="auto"/>
      </w:pPr>
    </w:p>
    <w:sectPr w:rsidR="000447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7F4" w:rsidRDefault="007577F4">
      <w:pPr>
        <w:spacing w:after="0" w:line="240" w:lineRule="auto"/>
      </w:pPr>
      <w:r>
        <w:separator/>
      </w:r>
    </w:p>
  </w:endnote>
  <w:endnote w:type="continuationSeparator" w:id="0">
    <w:p w:rsidR="007577F4" w:rsidRDefault="0075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7F4" w:rsidRDefault="007577F4" w:rsidP="00BC08DC">
      <w:pPr>
        <w:spacing w:after="0" w:line="240" w:lineRule="auto"/>
      </w:pPr>
      <w:r>
        <w:separator/>
      </w:r>
    </w:p>
  </w:footnote>
  <w:footnote w:type="continuationSeparator" w:id="0">
    <w:p w:rsidR="007577F4" w:rsidRDefault="007577F4" w:rsidP="00BC08DC">
      <w:pPr>
        <w:spacing w:after="0" w:line="240" w:lineRule="auto"/>
      </w:pPr>
      <w:r>
        <w:continuationSeparator/>
      </w:r>
    </w:p>
  </w:footnote>
  <w:footnote w:id="1">
    <w:p w:rsidR="00BC08DC" w:rsidRDefault="007577F4" w:rsidP="00BC08DC">
      <w:pPr>
        <w:spacing w:line="240" w:lineRule="auto"/>
      </w:pPr>
      <w:r>
        <w:rPr>
          <w:rStyle w:val="FootnoteReference"/>
        </w:rPr>
        <w:footnoteRef/>
      </w:r>
      <w:r>
        <w:t xml:space="preserve"> </w:t>
      </w:r>
      <w:r w:rsidRPr="00BC08DC">
        <w:rPr>
          <w:sz w:val="20"/>
        </w:rPr>
        <w:t>Greenwood, Janette Thomas, and Janette Thomas Greenwood. </w:t>
      </w:r>
      <w:r w:rsidRPr="00BC08DC">
        <w:rPr>
          <w:i/>
          <w:iCs/>
          <w:sz w:val="20"/>
        </w:rPr>
        <w:t>The Gilded Age: A History in Documents</w:t>
      </w:r>
      <w:r w:rsidRPr="00BC08DC">
        <w:rPr>
          <w:sz w:val="20"/>
        </w:rPr>
        <w:t>. Oxford University Press, 2000.</w:t>
      </w:r>
    </w:p>
  </w:footnote>
  <w:footnote w:id="2">
    <w:p w:rsidR="00BC08DC" w:rsidRPr="00BC08DC" w:rsidRDefault="007577F4" w:rsidP="00BC08DC">
      <w:pPr>
        <w:spacing w:line="240" w:lineRule="auto"/>
        <w:rPr>
          <w:sz w:val="22"/>
        </w:rPr>
      </w:pPr>
      <w:r>
        <w:rPr>
          <w:rStyle w:val="FootnoteReference"/>
        </w:rPr>
        <w:footnoteRef/>
      </w:r>
      <w:r>
        <w:t xml:space="preserve"> </w:t>
      </w:r>
      <w:r w:rsidRPr="00BC08DC">
        <w:rPr>
          <w:sz w:val="22"/>
        </w:rPr>
        <w:t>Zinn, Howard, and Matt Damon. </w:t>
      </w:r>
      <w:r w:rsidRPr="00BC08DC">
        <w:rPr>
          <w:i/>
          <w:iCs/>
          <w:sz w:val="22"/>
        </w:rPr>
        <w:t>A people's history of the United States</w:t>
      </w:r>
      <w:r w:rsidRPr="00BC08DC">
        <w:rPr>
          <w:sz w:val="22"/>
        </w:rPr>
        <w:t>.</w:t>
      </w:r>
      <w:r w:rsidRPr="00BC08DC">
        <w:rPr>
          <w:sz w:val="22"/>
        </w:rPr>
        <w:t xml:space="preserve"> New York: New Press, 1998.</w:t>
      </w:r>
    </w:p>
  </w:footnote>
  <w:footnote w:id="3">
    <w:p w:rsidR="00BC08DC" w:rsidRDefault="007577F4">
      <w:pPr>
        <w:pStyle w:val="FootnoteText"/>
      </w:pPr>
      <w:r>
        <w:rPr>
          <w:rStyle w:val="FootnoteReference"/>
        </w:rPr>
        <w:footnoteRef/>
      </w:r>
      <w:r>
        <w:t xml:space="preserve"> </w:t>
      </w:r>
      <w:r w:rsidRPr="00BC08DC">
        <w:t>Greenwood, Janette Thomas, and Janette Thomas Greenwood. </w:t>
      </w:r>
      <w:r w:rsidRPr="00BC08DC">
        <w:rPr>
          <w:i/>
          <w:iCs/>
        </w:rPr>
        <w:t>The Gilded Age: A History in Documents</w:t>
      </w:r>
      <w:r w:rsidRPr="00BC08DC">
        <w:t>. Oxford University Press, 2000.</w:t>
      </w:r>
    </w:p>
  </w:footnote>
  <w:footnote w:id="4">
    <w:p w:rsidR="00BC08DC" w:rsidRDefault="007577F4" w:rsidP="00BC08DC">
      <w:pPr>
        <w:spacing w:line="240" w:lineRule="auto"/>
      </w:pPr>
      <w:r>
        <w:rPr>
          <w:rStyle w:val="FootnoteReference"/>
        </w:rPr>
        <w:footnoteRef/>
      </w:r>
      <w:r>
        <w:t xml:space="preserve"> </w:t>
      </w:r>
      <w:r w:rsidRPr="00BC08DC">
        <w:rPr>
          <w:sz w:val="20"/>
        </w:rPr>
        <w:t>Sanders, Elizabeth. </w:t>
      </w:r>
      <w:r w:rsidRPr="00BC08DC">
        <w:rPr>
          <w:i/>
          <w:iCs/>
          <w:sz w:val="20"/>
        </w:rPr>
        <w:t>Roots of reform: farmers, workers, and the American state, 1877-1917</w:t>
      </w:r>
      <w:r w:rsidRPr="00BC08DC">
        <w:rPr>
          <w:sz w:val="20"/>
        </w:rPr>
        <w:t xml:space="preserve">. </w:t>
      </w:r>
      <w:r w:rsidRPr="00BC08DC">
        <w:rPr>
          <w:sz w:val="20"/>
        </w:rPr>
        <w:t>University of Chicago Press, 1999.</w:t>
      </w:r>
    </w:p>
    <w:p w:rsidR="00BC08DC" w:rsidRDefault="00BC08DC">
      <w:pPr>
        <w:pStyle w:val="FootnoteText"/>
      </w:pPr>
    </w:p>
  </w:footnote>
  <w:footnote w:id="5">
    <w:p w:rsidR="00BC08DC" w:rsidRPr="00BC08DC" w:rsidRDefault="007577F4" w:rsidP="00BC08DC">
      <w:pPr>
        <w:spacing w:line="240" w:lineRule="auto"/>
        <w:rPr>
          <w:sz w:val="20"/>
        </w:rPr>
      </w:pPr>
      <w:r>
        <w:rPr>
          <w:rStyle w:val="FootnoteReference"/>
        </w:rPr>
        <w:footnoteRef/>
      </w:r>
      <w:r>
        <w:t xml:space="preserve"> </w:t>
      </w:r>
      <w:r w:rsidRPr="00BC08DC">
        <w:rPr>
          <w:sz w:val="20"/>
        </w:rPr>
        <w:t>Zinn, Howard, and Matt Damon. </w:t>
      </w:r>
      <w:r w:rsidRPr="00BC08DC">
        <w:rPr>
          <w:i/>
          <w:iCs/>
          <w:sz w:val="20"/>
        </w:rPr>
        <w:t>A people's history of the United States</w:t>
      </w:r>
      <w:r w:rsidRPr="00BC08DC">
        <w:rPr>
          <w:sz w:val="20"/>
        </w:rPr>
        <w:t>. New York: New Press, 1998.</w:t>
      </w:r>
    </w:p>
  </w:footnote>
  <w:footnote w:id="6">
    <w:p w:rsidR="00BC08DC" w:rsidRPr="00BC08DC" w:rsidRDefault="007577F4" w:rsidP="00BC08DC">
      <w:pPr>
        <w:spacing w:line="240" w:lineRule="auto"/>
        <w:rPr>
          <w:sz w:val="20"/>
        </w:rPr>
      </w:pPr>
      <w:r w:rsidRPr="00BC08DC">
        <w:rPr>
          <w:rStyle w:val="FootnoteReference"/>
          <w:sz w:val="20"/>
        </w:rPr>
        <w:footnoteRef/>
      </w:r>
      <w:r w:rsidRPr="00BC08DC">
        <w:rPr>
          <w:sz w:val="20"/>
        </w:rPr>
        <w:t xml:space="preserve"> Zinn, Howard, and Matt Damon. </w:t>
      </w:r>
      <w:r w:rsidRPr="00BC08DC">
        <w:rPr>
          <w:i/>
          <w:iCs/>
          <w:sz w:val="20"/>
        </w:rPr>
        <w:t>A people's history of the United States</w:t>
      </w:r>
      <w:r w:rsidRPr="00BC08DC">
        <w:rPr>
          <w:sz w:val="20"/>
        </w:rPr>
        <w:t>. New York: New Press, 1998.</w:t>
      </w:r>
    </w:p>
    <w:p w:rsidR="00BC08DC" w:rsidRDefault="00BC08D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79B"/>
    <w:rsid w:val="00031A09"/>
    <w:rsid w:val="0004479B"/>
    <w:rsid w:val="00095102"/>
    <w:rsid w:val="000E3F94"/>
    <w:rsid w:val="00335845"/>
    <w:rsid w:val="003B3021"/>
    <w:rsid w:val="00576613"/>
    <w:rsid w:val="005D32D9"/>
    <w:rsid w:val="006F548D"/>
    <w:rsid w:val="007577F4"/>
    <w:rsid w:val="007C3226"/>
    <w:rsid w:val="00956C3C"/>
    <w:rsid w:val="009F0835"/>
    <w:rsid w:val="00A227FB"/>
    <w:rsid w:val="00A41B54"/>
    <w:rsid w:val="00AE5A50"/>
    <w:rsid w:val="00BC08DC"/>
    <w:rsid w:val="00CE238D"/>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08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08DC"/>
    <w:rPr>
      <w:rFonts w:cstheme="minorBidi"/>
      <w:sz w:val="20"/>
      <w:szCs w:val="20"/>
    </w:rPr>
  </w:style>
  <w:style w:type="character" w:styleId="FootnoteReference">
    <w:name w:val="footnote reference"/>
    <w:basedOn w:val="DefaultParagraphFont"/>
    <w:uiPriority w:val="99"/>
    <w:semiHidden/>
    <w:unhideWhenUsed/>
    <w:rsid w:val="00BC08D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08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08DC"/>
    <w:rPr>
      <w:rFonts w:cstheme="minorBidi"/>
      <w:sz w:val="20"/>
      <w:szCs w:val="20"/>
    </w:rPr>
  </w:style>
  <w:style w:type="character" w:styleId="FootnoteReference">
    <w:name w:val="footnote reference"/>
    <w:basedOn w:val="DefaultParagraphFont"/>
    <w:uiPriority w:val="99"/>
    <w:semiHidden/>
    <w:unhideWhenUsed/>
    <w:rsid w:val="00BC08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2020-02-10T04:14:00Z</dcterms:created>
  <dcterms:modified xsi:type="dcterms:W3CDTF">2020-02-10T05:26:00Z</dcterms:modified>
</cp:coreProperties>
</file>